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柳河县城区基准地价结果表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  <w:t>单位：元/平方米</w:t>
      </w:r>
    </w:p>
    <w:tbl>
      <w:tblPr>
        <w:tblStyle w:val="4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78"/>
        <w:gridCol w:w="862"/>
        <w:gridCol w:w="884"/>
        <w:gridCol w:w="757"/>
        <w:gridCol w:w="757"/>
        <w:gridCol w:w="757"/>
        <w:gridCol w:w="727"/>
        <w:gridCol w:w="781"/>
        <w:gridCol w:w="868"/>
        <w:gridCol w:w="683"/>
        <w:gridCol w:w="847"/>
        <w:gridCol w:w="667"/>
        <w:gridCol w:w="848"/>
        <w:gridCol w:w="674"/>
        <w:gridCol w:w="676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一级地类编码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5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一级地类名称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</w:t>
            </w:r>
          </w:p>
        </w:tc>
        <w:tc>
          <w:tcPr>
            <w:tcW w:w="5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公共管理与公共服务用地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工矿用地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仓储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二级地类编码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二级地类名称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城镇住宅用地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机关团体用地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科研用地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文化用地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教育用地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体育用地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社会福利用地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商务金融用地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娱乐用地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其他商服用地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采矿用地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物流仓储用地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I级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基准地价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纯收益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基于土地出让纯收益测算的年租金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基于基准地价测算的年租金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楼面地价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Ⅱ级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基准地价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纯收益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基于土地出让纯收益测算的年租金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基于基准地价测算的年租金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楼面地价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Ⅲ级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基准地价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纯收益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基于土地出让纯收益测算的年租金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基于基准地价测算的年租金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楼面地价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2025-03-18T07:38:16Z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