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3</w:t>
      </w: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/>
        <w:ind w:firstLine="562"/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柳河县城区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地下空间土地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基准地价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表</w:t>
      </w:r>
    </w:p>
    <w:p>
      <w:pPr>
        <w:pageBreakBefore w:val="0"/>
        <w:kinsoku/>
        <w:wordWrap/>
        <w:overflowPunct/>
        <w:topLinePunct w:val="0"/>
        <w:bidi w:val="0"/>
        <w:spacing w:line="240" w:lineRule="atLeast"/>
        <w:jc w:val="righ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单位：元/平方米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446"/>
        <w:gridCol w:w="600"/>
        <w:gridCol w:w="999"/>
        <w:gridCol w:w="999"/>
        <w:gridCol w:w="1"/>
        <w:gridCol w:w="998"/>
        <w:gridCol w:w="999"/>
        <w:gridCol w:w="2"/>
        <w:gridCol w:w="997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</w:trPr>
        <w:tc>
          <w:tcPr>
            <w:tcW w:w="19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  <w:t>用途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  <w:t>级别</w:t>
            </w:r>
          </w:p>
        </w:tc>
        <w:tc>
          <w:tcPr>
            <w:tcW w:w="1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  <w:t>地下一层</w:t>
            </w:r>
          </w:p>
        </w:tc>
        <w:tc>
          <w:tcPr>
            <w:tcW w:w="1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  <w:t>地下二层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  <w:t>地下三层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</w:trPr>
        <w:tc>
          <w:tcPr>
            <w:tcW w:w="192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  <w:t>单建25%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  <w:t>结建20%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  <w:t>单建12.5%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  <w:t>结建10%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  <w:t>单建6.25%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  <w:t>结建5%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07</w:t>
            </w:r>
          </w:p>
        </w:tc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居住用地（城镇住宅用地）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I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137.5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II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37.5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III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48.6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09</w:t>
            </w:r>
          </w:p>
        </w:tc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商服用地（商业用地、商务金融用地、娱乐用地、其他商服用地）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I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II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III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工矿用地（工业用地、采矿用地）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I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II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III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13.4 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仓储用地（物流仓储用地）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I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II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III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13.4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注：第四层及第四层以下按上一层价格50%但不低于土地纯收益的1%确定。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0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2025-03-18T07:41:12Z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