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6125845" cy="8658225"/>
            <wp:effectExtent l="0" t="0" r="8255" b="9525"/>
            <wp:docPr id="5" name="图片 5" descr="220524柳河县商服用地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20524柳河县商服用地基准地价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6125845" cy="8658225"/>
            <wp:effectExtent l="0" t="0" r="8255" b="9525"/>
            <wp:docPr id="9" name="图片 9" descr="220524柳河县居住用地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20524柳河县居住用地基准地价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6125845" cy="8658225"/>
            <wp:effectExtent l="0" t="0" r="8255" b="9525"/>
            <wp:docPr id="11" name="图片 11" descr="220524柳河县城区工矿仓储用地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20524柳河县城区工矿仓储用地基准地价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6125845" cy="8658225"/>
            <wp:effectExtent l="0" t="0" r="8255" b="9525"/>
            <wp:docPr id="7" name="图片 7" descr="220524柳河县公服用地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0524柳河县公服用地基准地价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script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</w:font>
  <w:font w:name="方正大标宋简体">
    <w:panose1 w:val="03000509000000000000"/>
    <w:charset w:val="86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FD7650"/>
    <w:rsid w:val="7F2F6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2025-03-18T07:44:00Z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</Properties>
</file>