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宋体" w:hAnsi="宋体" w:eastAsia="宋体" w:cs="宋体"/>
          <w:b/>
          <w:bCs/>
          <w:i w:val="0"/>
          <w:iCs w:val="0"/>
          <w:caps w:val="0"/>
          <w:color w:val="000000"/>
          <w:spacing w:val="0"/>
          <w:sz w:val="36"/>
          <w:szCs w:val="36"/>
          <w:shd w:val="clear" w:fill="FFFFFF"/>
        </w:rPr>
        <w:t>柳河县文化广播电视和旅游局公共文化服务领域公开目录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3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1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2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1</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许可</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互联网上网服务营业场所经营许可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1.办事指南：主要包括事项名称、设定依据、申请条件、办理材料、办理地点、办理时间、联系电话、办理流程、办理期限、申请行政许可需要提交的全部材料目录及办理情况;</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《行政许可法》、《政府信息公开条例》、《互联网上网服务营业场所管理条例》</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文艺表演团体设立审批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《行政许可法》、《政府信息公开条例》、《营业性演出管理条例》、《文化部关于落实“先照后证”改进文化市场行政审批工作的通知》 </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3</w:t>
            </w:r>
          </w:p>
        </w:tc>
        <w:tc>
          <w:tcPr>
            <w:tcW w:w="73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许可</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营业性演出审批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《行政许可法》、《政府信息公开条例》、《营业性演出管理条例》、《文化部关于落实“先照后证”改进文化市场行政审批工作的通知》 </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4</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许可</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娱乐场所经营许可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《行政许可法》；《政府信息公开条例》</w:t>
            </w:r>
            <w:r>
              <w:rPr>
                <w:rFonts w:hint="eastAsia" w:ascii="仿宋_GB2312" w:hAnsi="Times New Roman" w:eastAsia="仿宋_GB2312"/>
                <w:color w:val="auto"/>
                <w:sz w:val="18"/>
                <w:szCs w:val="18"/>
                <w:shd w:val="clear" w:color="auto" w:fill="auto"/>
                <w:lang w:eastAsia="zh-CN"/>
              </w:rPr>
              <w:t>《娱乐场所管理条例》《娱乐场所实施细则》</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val="en-US" w:eastAsia="zh-CN"/>
              </w:rPr>
              <w:t>5</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县级文物保护单位建设控制地带内建设工程设计方案审批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《行政许可法》；《政府信息公开条例》</w:t>
            </w:r>
            <w:r>
              <w:rPr>
                <w:rFonts w:hint="eastAsia" w:ascii="仿宋" w:hAnsi="仿宋" w:eastAsia="仿宋" w:cs="仿宋"/>
                <w:color w:val="auto"/>
                <w:kern w:val="0"/>
                <w:sz w:val="18"/>
                <w:szCs w:val="18"/>
                <w:shd w:val="clear" w:color="auto" w:fill="auto"/>
              </w:rPr>
              <w:t>《中华人民共和国文物保护法》《中华人民共和国文物保护法实施条例》</w:t>
            </w:r>
            <w:r>
              <w:rPr>
                <w:rFonts w:hint="eastAsia" w:ascii="仿宋_GB2312" w:hAnsi="Times New Roman" w:eastAsia="仿宋_GB2312"/>
                <w:color w:val="auto"/>
                <w:sz w:val="18"/>
                <w:szCs w:val="18"/>
                <w:shd w:val="clear" w:color="auto" w:fill="auto"/>
                <w:lang w:eastAsia="zh-CN"/>
              </w:rPr>
              <w:t>《文物保护工程管理办法》</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val="en-US" w:eastAsia="zh-CN"/>
              </w:rPr>
              <w:t>6</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县级文物保护单位实施原址保护措施审批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《行政许可法》；《政府信息公开条例》</w:t>
            </w:r>
            <w:r>
              <w:rPr>
                <w:rFonts w:hint="eastAsia" w:ascii="仿宋" w:hAnsi="仿宋" w:eastAsia="仿宋" w:cs="仿宋"/>
                <w:color w:val="auto"/>
                <w:kern w:val="0"/>
                <w:sz w:val="18"/>
                <w:szCs w:val="18"/>
                <w:shd w:val="clear" w:color="auto" w:fill="auto"/>
              </w:rPr>
              <w:t>《中华人民共和国文物保护法》《中华人民共和国文物保护法实施条例》</w:t>
            </w:r>
          </w:p>
        </w:tc>
        <w:tc>
          <w:tcPr>
            <w:tcW w:w="1814"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val="en-US" w:eastAsia="zh-CN"/>
              </w:rPr>
              <w:t>7</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行政</w:t>
            </w:r>
          </w:p>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许可</w:t>
            </w:r>
          </w:p>
        </w:tc>
        <w:tc>
          <w:tcPr>
            <w:tcW w:w="16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县级文物保护单位和未核定为文物保护单位的不可移动文物修缮审批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《行政许可法》；《政府信息公开条例》</w:t>
            </w:r>
            <w:r>
              <w:rPr>
                <w:rFonts w:hint="eastAsia" w:ascii="仿宋" w:hAnsi="仿宋" w:eastAsia="仿宋" w:cs="仿宋"/>
                <w:color w:val="auto"/>
                <w:kern w:val="0"/>
                <w:sz w:val="18"/>
                <w:szCs w:val="18"/>
                <w:shd w:val="clear" w:color="auto" w:fill="auto"/>
              </w:rPr>
              <w:t>《中华人民共和国文物保护法》《中华人民共和国文物保护法实施条例》</w:t>
            </w:r>
          </w:p>
        </w:tc>
        <w:tc>
          <w:tcPr>
            <w:tcW w:w="1814"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val="en-US" w:eastAsia="zh-CN"/>
              </w:rPr>
              <w:t>8</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核定为县级文物保护单位的属于国家所有的纪念建筑物或者古建筑改变用途审批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《行政许可法》；《政府信息公开条例》</w:t>
            </w:r>
            <w:r>
              <w:rPr>
                <w:rFonts w:hint="eastAsia" w:ascii="仿宋" w:hAnsi="仿宋" w:eastAsia="仿宋" w:cs="仿宋"/>
                <w:color w:val="auto"/>
                <w:kern w:val="0"/>
                <w:sz w:val="18"/>
                <w:szCs w:val="18"/>
                <w:shd w:val="clear" w:color="auto" w:fill="auto"/>
              </w:rPr>
              <w:t>《中华人民共和国文物保护法》《中华人民共和国文物保护法实施条例》</w:t>
            </w:r>
          </w:p>
        </w:tc>
        <w:tc>
          <w:tcPr>
            <w:tcW w:w="1814"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val="en-US" w:eastAsia="zh-CN"/>
              </w:rPr>
              <w:t>9</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非国有文物收藏单位和其他单位举办展览需借用国有馆藏二级以下文物审批</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《行政许可法》；《政府信息公开条例》</w:t>
            </w:r>
            <w:r>
              <w:rPr>
                <w:rFonts w:hint="eastAsia" w:ascii="仿宋" w:hAnsi="仿宋" w:eastAsia="仿宋" w:cs="仿宋"/>
                <w:color w:val="auto"/>
                <w:kern w:val="0"/>
                <w:sz w:val="18"/>
                <w:szCs w:val="18"/>
                <w:shd w:val="clear" w:color="auto" w:fill="auto"/>
              </w:rPr>
              <w:t>《中华人民共和国文物保护法》《中华人民共和国文物保护法实施条例》</w:t>
            </w:r>
          </w:p>
        </w:tc>
        <w:tc>
          <w:tcPr>
            <w:tcW w:w="1814"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jc w:val="center"/>
              <w:rPr>
                <w:rFonts w:hint="default" w:ascii="仿宋_GB2312" w:hAnsi="Times New Roman" w:eastAsia="仿宋_GB2312"/>
                <w:color w:val="auto"/>
                <w:sz w:val="18"/>
                <w:szCs w:val="18"/>
                <w:shd w:val="clear" w:color="auto" w:fill="auto"/>
                <w:lang w:val="en-US" w:eastAsia="zh-CN"/>
              </w:rPr>
            </w:pPr>
            <w:r>
              <w:rPr>
                <w:rFonts w:hint="eastAsia" w:ascii="仿宋_GB2312" w:hAnsi="Times New Roman" w:eastAsia="仿宋_GB2312"/>
                <w:color w:val="auto"/>
                <w:sz w:val="18"/>
                <w:szCs w:val="18"/>
                <w:shd w:val="clear" w:color="auto" w:fill="auto"/>
                <w:lang w:val="en-US" w:eastAsia="zh-CN"/>
              </w:rPr>
              <w:t>10</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shd w:val="clear" w:color="auto" w:fill="auto"/>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lang w:eastAsia="zh-CN"/>
              </w:rPr>
              <w:t>旅行社设立许可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lang w:eastAsia="zh-CN"/>
              </w:rPr>
            </w:pPr>
            <w:r>
              <w:rPr>
                <w:rFonts w:hint="eastAsia" w:ascii="仿宋_GB2312" w:hAnsi="Times New Roman" w:eastAsia="仿宋_GB2312"/>
                <w:color w:val="auto"/>
                <w:sz w:val="18"/>
                <w:szCs w:val="18"/>
                <w:shd w:val="clear" w:color="auto" w:fill="auto"/>
              </w:rPr>
              <w:t>1.办事指南：内容同上;</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2.行政许可决定。</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《中华人民共和国旅游法》（2013年4月25日主席令第3号）第二十八条；设立旅行社，招徕、组织、接待旅游者，为其提供旅游服务，应当具备下列条件，取得旅游主管部门的许可。</w:t>
            </w:r>
          </w:p>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旅行社条例》（2009年国务院令第550号，2016年2月6日予以修改）第七条：申请经营国内旅游业务和入境旅游业务的，应当向所在地省、自治区、直辖市旅游行政管理部门或者其委托的设区的市级旅游行政管理部门提出申请，并提交符合本条例第六条规定的相关证明文件。</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 xml:space="preserve">■政府网站       ■公开查阅点     ■政务服务中心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r>
              <w:rPr>
                <w:rFonts w:hint="eastAsia" w:ascii="仿宋_GB2312" w:hAnsi="Times New Roman" w:eastAsia="仿宋_GB2312"/>
                <w:color w:val="auto"/>
                <w:sz w:val="18"/>
                <w:szCs w:val="18"/>
                <w:shd w:val="clear" w:color="auto" w:fill="auto"/>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11</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对互联网上网服务营业场所违法行为的行政处罚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12</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对娱乐场所违法行为的行政处罚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13</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对营业性演出违法行为的行政处罚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14</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对艺术品经营违法行为的行政处罚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15</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对网络游戏运营单位违法行为的行政处罚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16</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对社会艺术水平考级活动违法行为的行政处罚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17</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对互联网文化单位违法行为的行政处罚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18</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对擅自在文物保护单位的保护范围内进行建设工程或者爆破、钻探、挖掘等作业的行为进行处罚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19</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20</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对擅自迁移、拆除不可移动文物的行为进行处罚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21</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对擅自修缮不可移动文物，明显改变文物原状的行为进行处罚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22</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对擅自在原址重建已全部毁坏的不可移动文物，造成文物破坏的行为进行处罚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23</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对施工单位未取得文物保护工程资质证书，擅自从事文物修缮、迁移、重建的行为进行处罚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24</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对转让或者抵押国有不可移动文物的行为进行处罚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25</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对将国有不可移动文物作为企业资产经营的行为进行处罚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26</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对将非国有不可移动文物转让或者抵押给外国人的行为进行处罚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27</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对擅自改变国有文物保护单位用途的行为进行处罚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28</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对文物收藏单位未按照国家有关规定配备防火、防盗、防自然损坏的设施的行为进行处罚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29</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30</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对将国有馆藏文物赠与、出租或者出售给其他单位、个人的行为进行处罚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31</w:t>
            </w:r>
          </w:p>
        </w:tc>
        <w:tc>
          <w:tcPr>
            <w:tcW w:w="734" w:type="dxa"/>
            <w:vMerge w:val="restart"/>
            <w:shd w:val="clear" w:color="auto" w:fill="auto"/>
            <w:noWrap w:val="0"/>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对违法借用、交换、处置国有馆藏文物的行为进行处罚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32</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对违法挪用或者侵占依法调拨、交换、出借文物所得补偿费用的行为进行处罚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33</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对发现文物隐匿不报，或者拒不上交的行为进行处罚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34</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对未按照规定移交拣选文物的行为进行处罚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35</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36</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处罚</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对未取得资质证书，擅自从事馆藏文物的修复、复制、拓印活动的行为进行处罚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37</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对擅自修复、复制、拓印馆藏珍贵文物的行为进行处罚</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3.处罚依据；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4.处罚结果。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814" w:type="dxa"/>
            <w:shd w:val="clear" w:color="auto" w:fill="auto"/>
            <w:noWrap w:val="0"/>
            <w:vAlign w:val="top"/>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38</w:t>
            </w:r>
          </w:p>
        </w:tc>
        <w:tc>
          <w:tcPr>
            <w:tcW w:w="734" w:type="dxa"/>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对非法从事复制经营活动的行政处罚</w:t>
            </w:r>
          </w:p>
        </w:tc>
        <w:tc>
          <w:tcPr>
            <w:tcW w:w="178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1.主体信息；2.案由；3.处罚依据；4.处罚结果。</w:t>
            </w:r>
          </w:p>
        </w:tc>
        <w:tc>
          <w:tcPr>
            <w:tcW w:w="1980" w:type="dxa"/>
            <w:shd w:val="clear" w:color="auto" w:fill="auto"/>
            <w:noWrap w:val="0"/>
            <w:vAlign w:val="center"/>
          </w:tcPr>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1.《音像制品管理条例》；</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2.《复制管理办法》；</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3.《国务院关于促进市场公平竞争维护市场正常秩序的若干意见》；</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4.《国务院办公厅关于全面推行行政执法公示制度执法全过程记录制度重大执法决定法制审核制度的指导意见》；</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6.《关于全面推进政务公开工作的意见》。</w:t>
            </w:r>
          </w:p>
        </w:tc>
        <w:tc>
          <w:tcPr>
            <w:tcW w:w="1814" w:type="dxa"/>
            <w:shd w:val="clear" w:color="auto" w:fill="auto"/>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■政府网站</w:t>
            </w: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09"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551"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39</w:t>
            </w:r>
          </w:p>
        </w:tc>
        <w:tc>
          <w:tcPr>
            <w:tcW w:w="734" w:type="dxa"/>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对非法从事出版物发行活动的行政处罚</w:t>
            </w:r>
          </w:p>
        </w:tc>
        <w:tc>
          <w:tcPr>
            <w:tcW w:w="178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1.主体信息；2.案由；3.处罚依据；4.处罚结果。</w:t>
            </w:r>
          </w:p>
        </w:tc>
        <w:tc>
          <w:tcPr>
            <w:tcW w:w="1980" w:type="dxa"/>
            <w:shd w:val="clear" w:color="auto" w:fill="auto"/>
            <w:noWrap w:val="0"/>
            <w:vAlign w:val="center"/>
          </w:tcPr>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1.《出版管理条例》；</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2.《出版物市场管理规定》；</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3.《国务院关于促进市场公平竞争维护市场正常秩序的若干意见》；</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4.《国务院办公厅关于全面推行行政执法公示制度执法全过程记录制度重大执法决定法制审核制度的指导意见》；</w:t>
            </w:r>
          </w:p>
          <w:p>
            <w:pPr>
              <w:widowControl/>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6.《关于全面推进政务公开工作的意见》。</w:t>
            </w:r>
          </w:p>
        </w:tc>
        <w:tc>
          <w:tcPr>
            <w:tcW w:w="1814" w:type="dxa"/>
            <w:shd w:val="clear" w:color="auto" w:fill="auto"/>
            <w:noWrap w:val="0"/>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执法决定信息在决定作出之日起7个工作日内公开，其他相关信息形成或变更之日起20个工作日内公开</w:t>
            </w:r>
          </w:p>
        </w:tc>
        <w:tc>
          <w:tcPr>
            <w:tcW w:w="142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■政府网站</w:t>
            </w: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09"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551"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40</w:t>
            </w:r>
          </w:p>
        </w:tc>
        <w:tc>
          <w:tcPr>
            <w:tcW w:w="734"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行政</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强制</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对擅自从事互联网上网服务经营活动场所的查封，专用工具、设备的扣押</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1.主体信息；</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2.案由；</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3.处理依据；</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4.处理结果。</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41</w:t>
            </w:r>
          </w:p>
        </w:tc>
        <w:tc>
          <w:tcPr>
            <w:tcW w:w="734"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行政强制</w:t>
            </w:r>
          </w:p>
        </w:tc>
        <w:tc>
          <w:tcPr>
            <w:tcW w:w="16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对涉嫌违法从事出版物出版、印刷或者复制、发行等活动的行政强制</w:t>
            </w:r>
          </w:p>
        </w:tc>
        <w:tc>
          <w:tcPr>
            <w:tcW w:w="178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1.主体信息；2.案由；3.处理依据；4.处理结果。</w:t>
            </w:r>
          </w:p>
        </w:tc>
        <w:tc>
          <w:tcPr>
            <w:tcW w:w="198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信息形成或变更之日起20个工作日内公开</w:t>
            </w:r>
          </w:p>
        </w:tc>
        <w:tc>
          <w:tcPr>
            <w:tcW w:w="142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■政府网站</w:t>
            </w: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09"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551"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42</w:t>
            </w:r>
          </w:p>
        </w:tc>
        <w:tc>
          <w:tcPr>
            <w:tcW w:w="734"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行政强制</w:t>
            </w:r>
          </w:p>
        </w:tc>
        <w:tc>
          <w:tcPr>
            <w:tcW w:w="16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val="en-US" w:eastAsia="zh-CN"/>
              </w:rPr>
              <w:t>对有证据证明违反《中华人民共和国电影产业促进法》规定的行为的行政强制</w:t>
            </w:r>
          </w:p>
        </w:tc>
        <w:tc>
          <w:tcPr>
            <w:tcW w:w="178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1.主体信息；2.案由；3.处理依据；4.处理结果。</w:t>
            </w:r>
          </w:p>
        </w:tc>
        <w:tc>
          <w:tcPr>
            <w:tcW w:w="198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信息形成或变更之日起20个工作日内公开</w:t>
            </w:r>
          </w:p>
        </w:tc>
        <w:tc>
          <w:tcPr>
            <w:tcW w:w="1426"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■政府网站</w:t>
            </w: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09"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551"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keepNext w:val="0"/>
              <w:keepLines w:val="0"/>
              <w:widowControl/>
              <w:suppressLineNumbers w:val="0"/>
              <w:jc w:val="left"/>
              <w:rPr>
                <w:rFonts w:hint="eastAsia" w:ascii="仿宋_GB2312" w:hAnsi="仿宋_GB2312" w:eastAsia="仿宋_GB2312" w:cs="仿宋_GB2312"/>
                <w:color w:val="auto"/>
                <w:kern w:val="2"/>
                <w:sz w:val="18"/>
                <w:szCs w:val="18"/>
                <w:lang w:val="en-US" w:eastAsia="zh-CN" w:bidi="ar-SA"/>
              </w:rPr>
            </w:pPr>
          </w:p>
        </w:tc>
        <w:tc>
          <w:tcPr>
            <w:tcW w:w="720" w:type="dxa"/>
            <w:shd w:val="clear" w:color="auto" w:fill="auto"/>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sz w:val="18"/>
                <w:szCs w:val="18"/>
              </w:rPr>
              <w:t>√</w:t>
            </w:r>
          </w:p>
        </w:tc>
        <w:tc>
          <w:tcPr>
            <w:tcW w:w="720" w:type="dxa"/>
            <w:shd w:val="clear" w:color="auto" w:fill="auto"/>
            <w:noWrap w:val="0"/>
            <w:vAlign w:val="center"/>
          </w:tcPr>
          <w:p>
            <w:pPr>
              <w:spacing w:line="240" w:lineRule="exact"/>
              <w:rPr>
                <w:rFonts w:hint="eastAsia"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43</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公共</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服务</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公共文化机构免费开放信息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1.机构名称；</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2.开放时间；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3.机构地址；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5.临时停止开放信息。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44</w:t>
            </w:r>
          </w:p>
        </w:tc>
        <w:tc>
          <w:tcPr>
            <w:tcW w:w="734" w:type="dxa"/>
            <w:vMerge w:val="continue"/>
            <w:shd w:val="clear" w:color="auto" w:fill="auto"/>
            <w:noWrap w:val="0"/>
            <w:vAlign w:val="center"/>
          </w:tcPr>
          <w:p>
            <w:pPr>
              <w:spacing w:line="240" w:lineRule="exact"/>
              <w:rPr>
                <w:rFonts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特殊群体公共文化服务信息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1.机构名称；</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2.开放时间；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3.机构地址；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5.临时停止开放信息。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《残疾人保障法》、《政府信息公开条例》、《中共中央办公厅 国务院办公厅印发关于加快构建现代公共文化服务体系的意见》</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45</w:t>
            </w:r>
          </w:p>
        </w:tc>
        <w:tc>
          <w:tcPr>
            <w:tcW w:w="734" w:type="dxa"/>
            <w:vMerge w:val="restart"/>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公共</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服务</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组织开展群众文化活动</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1.机构名称；</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2.开放时间；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3.机构地址；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46</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下基层辅导、演出、展览和指导基层群众文化活动</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1.活动时间；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2.活动单位；</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3.活动地址；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《政府信息公开条例》、《文化馆服务标准》</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47</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举办各类展览、讲座信息</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1.活动时间；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2.活动单位；</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3.活动地址；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48</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辅导和培训基层文化骨干</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1.培训时间；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2.培训单位；</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3.培训地址；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《政府信息公开条例》、《乡镇综合文化站管理办法》</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49</w:t>
            </w:r>
          </w:p>
        </w:tc>
        <w:tc>
          <w:tcPr>
            <w:tcW w:w="734" w:type="dxa"/>
            <w:vMerge w:val="continue"/>
            <w:shd w:val="clear" w:color="auto" w:fill="auto"/>
            <w:noWrap w:val="0"/>
            <w:vAlign w:val="center"/>
          </w:tcPr>
          <w:p>
            <w:pPr>
              <w:spacing w:line="240" w:lineRule="exact"/>
              <w:rPr>
                <w:rFonts w:hint="eastAsia" w:ascii="仿宋_GB2312" w:hAnsi="Times New Roman" w:eastAsia="仿宋_GB2312"/>
                <w:color w:val="auto"/>
                <w:sz w:val="18"/>
                <w:szCs w:val="18"/>
              </w:rPr>
            </w:pP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非物质文化遗产展示传播活动</w:t>
            </w:r>
          </w:p>
        </w:tc>
        <w:tc>
          <w:tcPr>
            <w:tcW w:w="1786"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1.活动时间；</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2.组织单位；</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3.活动地址；</w:t>
            </w:r>
          </w:p>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4.联系电话；</w:t>
            </w:r>
          </w:p>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5.临时停止活动信息。</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《非物质文化遗产法》、《政府信息公开条例》  </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spacing w:line="240" w:lineRule="exact"/>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50</w:t>
            </w:r>
          </w:p>
        </w:tc>
        <w:tc>
          <w:tcPr>
            <w:tcW w:w="734" w:type="dxa"/>
            <w:shd w:val="clear" w:color="auto" w:fill="auto"/>
            <w:noWrap w:val="0"/>
            <w:vAlign w:val="center"/>
          </w:tcPr>
          <w:p>
            <w:pPr>
              <w:spacing w:line="240" w:lineRule="exact"/>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公共</w:t>
            </w:r>
          </w:p>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服务</w:t>
            </w:r>
          </w:p>
        </w:tc>
        <w:tc>
          <w:tcPr>
            <w:tcW w:w="16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文博单位名录</w:t>
            </w:r>
          </w:p>
        </w:tc>
        <w:tc>
          <w:tcPr>
            <w:tcW w:w="1786"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文物保护管理机构和博物馆名录</w:t>
            </w:r>
          </w:p>
        </w:tc>
        <w:tc>
          <w:tcPr>
            <w:tcW w:w="198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w:t>
            </w:r>
          </w:p>
        </w:tc>
        <w:tc>
          <w:tcPr>
            <w:tcW w:w="1814"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426" w:type="dxa"/>
            <w:shd w:val="clear" w:color="auto" w:fill="auto"/>
            <w:noWrap w:val="0"/>
            <w:vAlign w:val="center"/>
          </w:tcPr>
          <w:p>
            <w:pPr>
              <w:spacing w:line="240" w:lineRule="exact"/>
              <w:rPr>
                <w:rFonts w:hint="eastAsia" w:ascii="仿宋_GB2312" w:hAnsi="Times New Roman" w:eastAsia="仿宋_GB2312" w:cs="Times New Roman"/>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lang w:eastAsia="zh-CN"/>
              </w:rPr>
              <w:t>柳河县文化广播电视和旅游局</w:t>
            </w:r>
          </w:p>
        </w:tc>
        <w:tc>
          <w:tcPr>
            <w:tcW w:w="144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09"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551"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20" w:type="dxa"/>
            <w:shd w:val="clear" w:color="auto" w:fill="auto"/>
            <w:noWrap w:val="0"/>
            <w:vAlign w:val="center"/>
          </w:tcPr>
          <w:p>
            <w:pPr>
              <w:spacing w:line="240" w:lineRule="exact"/>
              <w:rPr>
                <w:rFonts w:ascii="仿宋_GB2312" w:hAnsi="Times New Roman" w:eastAsia="仿宋_GB2312"/>
                <w:color w:val="auto"/>
                <w:sz w:val="18"/>
                <w:szCs w:val="18"/>
              </w:rPr>
            </w:pPr>
          </w:p>
        </w:tc>
      </w:tr>
    </w:tbl>
    <w:p/>
    <w:p/>
    <w:p/>
    <w:p/>
    <w:p/>
    <w:p/>
    <w:p/>
    <w:p/>
    <w:p/>
    <w:p/>
    <w:p/>
    <w:p/>
    <w:p/>
    <w:p/>
    <w:p/>
    <w:p>
      <w:pPr>
        <w:rPr>
          <w:rFonts w:hint="eastAsia" w:eastAsia="宋体"/>
          <w:lang w:eastAsia="zh-CN"/>
        </w:rPr>
      </w:pPr>
    </w:p>
    <w:sectPr>
      <w:pgSz w:w="16838" w:h="11906" w:orient="landscape"/>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GI3YzQ5YTQxOGU4ZjNmZGZkNzU5NGVmYjhhMWMifQ=="/>
  </w:docVars>
  <w:rsids>
    <w:rsidRoot w:val="22AF09A2"/>
    <w:rsid w:val="025A09AD"/>
    <w:rsid w:val="11735C2F"/>
    <w:rsid w:val="141675E9"/>
    <w:rsid w:val="14855776"/>
    <w:rsid w:val="1533425E"/>
    <w:rsid w:val="18077376"/>
    <w:rsid w:val="1B4B0738"/>
    <w:rsid w:val="1BD67E44"/>
    <w:rsid w:val="224544AB"/>
    <w:rsid w:val="22AF09A2"/>
    <w:rsid w:val="31FA4FDB"/>
    <w:rsid w:val="33A51825"/>
    <w:rsid w:val="4B50116D"/>
    <w:rsid w:val="4C5948CA"/>
    <w:rsid w:val="51200A2D"/>
    <w:rsid w:val="5D057C3D"/>
    <w:rsid w:val="5F854EE7"/>
    <w:rsid w:val="5FB46EA6"/>
    <w:rsid w:val="70983CE4"/>
    <w:rsid w:val="722679E6"/>
    <w:rsid w:val="73BD79B5"/>
    <w:rsid w:val="7CB62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7565</Words>
  <Characters>7813</Characters>
  <Lines>0</Lines>
  <Paragraphs>0</Paragraphs>
  <TotalTime>10</TotalTime>
  <ScaleCrop>false</ScaleCrop>
  <LinksUpToDate>false</LinksUpToDate>
  <CharactersWithSpaces>8225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2020-06-23T07:53:00Z</dcterms:created>
  <dc:creator>WPS_1525854656</dc:creator>
  <cp:lastModifiedBy>lenovo</cp:lastModifiedBy>
  <cp:lastPrinted>2022-07-13T01:18:00Z</cp:lastPrinted>
  <dcterms:modified xsi:type="dcterms:W3CDTF">2023-10-17T06:19:38Z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ECD8EDD157EB455AB2456A928862BEFA_13</vt:lpwstr>
  </property>
</Properties>
</file>